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13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Gupta Ravi</w:t>
              </w:r>
            </w:hyperlink>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54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Maplebear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CART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800" w:type="dxa"/>
            <w:vAlign w:val="bottom"/>
          </w:tcPr>
          <w:p>
            <w:pPr>
              <w:spacing w:after="0"/>
              <w:rPr>
                <w:sz w:val="5"/>
                <w:szCs w:val="5"/>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740" w:type="dxa"/>
            <w:vAlign w:val="bottom"/>
            <w:tcBorders>
              <w:top w:val="single" w:sz="8" w:color="EEEEEE"/>
            </w:tcBorders>
          </w:tcPr>
          <w:p>
            <w:pPr>
              <w:spacing w:after="0"/>
              <w:rPr>
                <w:sz w:val="4"/>
                <w:szCs w:val="4"/>
                <w:color w:val="auto"/>
              </w:rPr>
            </w:pPr>
          </w:p>
        </w:tc>
        <w:tc>
          <w:tcPr>
            <w:tcW w:w="17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(Last)</w:t>
            </w:r>
          </w:p>
        </w:tc>
        <w:tc>
          <w:tcPr>
            <w:tcW w:w="740" w:type="dxa"/>
            <w:vAlign w:val="bottom"/>
          </w:tcPr>
          <w:p>
            <w:pPr>
              <w:ind w:left="80"/>
              <w:spacing w:after="0"/>
              <w:rPr>
                <w:sz w:val="20"/>
                <w:szCs w:val="20"/>
                <w:color w:val="auto"/>
              </w:rPr>
            </w:pPr>
            <w:r>
              <w:rPr>
                <w:rFonts w:ascii="Arial" w:cs="Arial" w:eastAsia="Arial" w:hAnsi="Arial"/>
                <w:sz w:val="13"/>
                <w:szCs w:val="13"/>
                <w:color w:val="auto"/>
              </w:rPr>
              <w:t>(First)</w:t>
            </w:r>
          </w:p>
        </w:tc>
        <w:tc>
          <w:tcPr>
            <w:tcW w:w="1760" w:type="dxa"/>
            <w:vAlign w:val="bottom"/>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ind w:left="400"/>
              <w:spacing w:after="0"/>
              <w:rPr>
                <w:sz w:val="20"/>
                <w:szCs w:val="20"/>
                <w:color w:val="auto"/>
              </w:rPr>
            </w:pPr>
            <w:r>
              <w:rPr>
                <w:rFonts w:ascii="Arial" w:cs="Arial" w:eastAsia="Arial" w:hAnsi="Arial"/>
                <w:sz w:val="13"/>
                <w:szCs w:val="13"/>
                <w:color w:val="auto"/>
              </w:rPr>
              <w:t>below)</w:t>
            </w:r>
          </w:p>
        </w:tc>
        <w:tc>
          <w:tcPr>
            <w:tcW w:w="8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50 BEALE STREET</w:t>
            </w:r>
          </w:p>
        </w:tc>
        <w:tc>
          <w:tcPr>
            <w:tcW w:w="1760" w:type="dxa"/>
            <w:vAlign w:val="bottom"/>
          </w:tcPr>
          <w:p>
            <w:pPr>
              <w:spacing w:after="0"/>
              <w:rPr>
                <w:sz w:val="19"/>
                <w:szCs w:val="19"/>
                <w:color w:val="auto"/>
              </w:rPr>
            </w:pPr>
          </w:p>
        </w:tc>
        <w:tc>
          <w:tcPr>
            <w:tcW w:w="11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600</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20" w:type="dxa"/>
            <w:vAlign w:val="bottom"/>
            <w:gridSpan w:val="4"/>
            <w:vMerge w:val="restart"/>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94105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120" w:type="dxa"/>
            <w:vAlign w:val="bottom"/>
            <w:gridSpan w:val="4"/>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ind w:left="400"/>
              <w:spacing w:after="0"/>
              <w:rPr>
                <w:sz w:val="20"/>
                <w:szCs w:val="20"/>
                <w:color w:val="auto"/>
              </w:rPr>
            </w:pPr>
            <w:r>
              <w:rPr>
                <w:rFonts w:ascii="Arial" w:cs="Arial" w:eastAsia="Arial" w:hAnsi="Arial"/>
                <w:sz w:val="13"/>
                <w:szCs w:val="13"/>
                <w:color w:val="auto"/>
              </w:rPr>
              <w:t>Person</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Pr>
          <w:p>
            <w:pPr>
              <w:ind w:left="5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3820" w:type="dxa"/>
            <w:vAlign w:val="bottom"/>
            <w:tcBorders>
              <w:bottom w:val="single" w:sz="8" w:color="2C2C2C"/>
            </w:tcBorders>
            <w:gridSpan w:val="6"/>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1"/>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72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1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3"/>
                <w:szCs w:val="13"/>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Estate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181,000</w:t>
            </w:r>
          </w:p>
        </w:tc>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2"/>
          </w:tcPr>
          <w:p>
            <w:pPr>
              <w:ind w:left="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41.5131</w:t>
            </w:r>
            <w:r>
              <w:rPr>
                <w:rFonts w:ascii="Times New Roman" w:cs="Times New Roman" w:eastAsia="Times New Roman" w:hAnsi="Times New Roman"/>
                <w:sz w:val="22"/>
                <w:szCs w:val="22"/>
                <w:color w:val="008000"/>
                <w:vertAlign w:val="superscript"/>
              </w:rPr>
              <w:t>(1)</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741,523</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Planning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Vehicle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15,006</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Sequoia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84,108</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Grove II,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Sequoia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1,389</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Grove UK,</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Sequoia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20,144,842</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Capital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2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Sequoia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3,064,306</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Capital Fund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Parallel,</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SC US/E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Expansion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2,150,331</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Fund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2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Sequoia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Global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351,374</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Growth Fund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III -</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Endurance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Partners,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SCGGF III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1,217,532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U.S./India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ind w:left="12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13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3507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350710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15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15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92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2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Sequoia</w:t>
            </w:r>
          </w:p>
        </w:tc>
        <w:tc>
          <w:tcPr>
            <w:tcW w:w="0" w:type="dxa"/>
            <w:vAlign w:val="bottom"/>
          </w:tcPr>
          <w:p>
            <w:pPr>
              <w:spacing w:after="0"/>
              <w:rPr>
                <w:sz w:val="1"/>
                <w:szCs w:val="1"/>
                <w:color w:val="auto"/>
              </w:rPr>
            </w:pPr>
          </w:p>
        </w:tc>
      </w:tr>
      <w:tr>
        <w:trPr>
          <w:trHeight w:val="213"/>
        </w:trPr>
        <w:tc>
          <w:tcPr>
            <w:tcW w:w="4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Common Stock</w:t>
            </w:r>
          </w:p>
        </w:tc>
        <w:tc>
          <w:tcPr>
            <w:tcW w:w="4460" w:type="dxa"/>
            <w:vAlign w:val="bottom"/>
            <w:vMerge w:val="restart"/>
          </w:tcPr>
          <w:p>
            <w:pPr>
              <w:jc w:val="right"/>
              <w:ind w:right="233"/>
              <w:spacing w:after="0"/>
              <w:rPr>
                <w:sz w:val="20"/>
                <w:szCs w:val="20"/>
                <w:color w:val="auto"/>
              </w:rPr>
            </w:pPr>
            <w:r>
              <w:rPr>
                <w:rFonts w:ascii="Times New Roman" w:cs="Times New Roman" w:eastAsia="Times New Roman" w:hAnsi="Times New Roman"/>
                <w:sz w:val="17"/>
                <w:szCs w:val="17"/>
                <w:color w:val="0000FF"/>
              </w:rPr>
              <w:t>1,000,000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tcPr>
          <w:p>
            <w:pPr>
              <w:ind w:left="240"/>
              <w:spacing w:after="0"/>
              <w:rPr>
                <w:sz w:val="20"/>
                <w:szCs w:val="20"/>
                <w:color w:val="auto"/>
              </w:rPr>
            </w:pPr>
            <w:r>
              <w:rPr>
                <w:rFonts w:ascii="Times New Roman" w:cs="Times New Roman" w:eastAsia="Times New Roman" w:hAnsi="Times New Roman"/>
                <w:sz w:val="17"/>
                <w:szCs w:val="17"/>
                <w:color w:val="0000FF"/>
                <w:w w:val="99"/>
              </w:rPr>
              <w:t>Capital US/E</w:t>
            </w:r>
          </w:p>
        </w:tc>
        <w:tc>
          <w:tcPr>
            <w:tcW w:w="0" w:type="dxa"/>
            <w:vAlign w:val="bottom"/>
          </w:tcPr>
          <w:p>
            <w:pPr>
              <w:spacing w:after="0"/>
              <w:rPr>
                <w:sz w:val="1"/>
                <w:szCs w:val="1"/>
                <w:color w:val="auto"/>
              </w:rPr>
            </w:pPr>
          </w:p>
        </w:tc>
      </w:tr>
      <w:tr>
        <w:trPr>
          <w:trHeight w:val="226"/>
        </w:trPr>
        <w:tc>
          <w:tcPr>
            <w:tcW w:w="4540" w:type="dxa"/>
            <w:vAlign w:val="bottom"/>
            <w:vMerge w:val="continue"/>
          </w:tcPr>
          <w:p>
            <w:pPr>
              <w:spacing w:after="0"/>
              <w:rPr>
                <w:sz w:val="19"/>
                <w:szCs w:val="19"/>
                <w:color w:val="auto"/>
              </w:rPr>
            </w:pPr>
          </w:p>
        </w:tc>
        <w:tc>
          <w:tcPr>
            <w:tcW w:w="446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Expansion</w:t>
            </w:r>
          </w:p>
        </w:tc>
        <w:tc>
          <w:tcPr>
            <w:tcW w:w="0" w:type="dxa"/>
            <w:vAlign w:val="bottom"/>
          </w:tcPr>
          <w:p>
            <w:pPr>
              <w:spacing w:after="0"/>
              <w:rPr>
                <w:sz w:val="1"/>
                <w:szCs w:val="1"/>
                <w:color w:val="auto"/>
              </w:rPr>
            </w:pPr>
          </w:p>
        </w:tc>
      </w:tr>
    </w:tbl>
    <w:p>
      <w:pPr>
        <w:ind w:left="9920"/>
        <w:spacing w:after="0" w:line="198" w:lineRule="auto"/>
        <w:rPr>
          <w:sz w:val="20"/>
          <w:szCs w:val="20"/>
          <w:color w:val="auto"/>
        </w:rPr>
      </w:pPr>
      <w:r>
        <w:rPr>
          <w:rFonts w:ascii="Times New Roman" w:cs="Times New Roman" w:eastAsia="Times New Roman" w:hAnsi="Times New Roman"/>
          <w:sz w:val="17"/>
          <w:szCs w:val="17"/>
          <w:color w:val="0000FF"/>
        </w:rPr>
        <w:t>Fund I, L.P.</w:t>
      </w:r>
      <w:r>
        <w:rPr>
          <w:rFonts w:ascii="Times New Roman" w:cs="Times New Roman" w:eastAsia="Times New Roman" w:hAnsi="Times New Roman"/>
          <w:sz w:val="22"/>
          <w:szCs w:val="22"/>
          <w:color w:val="008000"/>
          <w:vertAlign w:val="superscript"/>
        </w:rPr>
        <w:t>(2)</w:t>
      </w:r>
    </w:p>
    <w:p>
      <w:pPr>
        <w:ind w:left="9920"/>
        <w:spacing w:after="0"/>
        <w:rPr>
          <w:sz w:val="20"/>
          <w:szCs w:val="20"/>
          <w:color w:val="auto"/>
        </w:rPr>
      </w:pPr>
      <w:r>
        <w:rPr>
          <w:rFonts w:ascii="Times New Roman" w:cs="Times New Roman" w:eastAsia="Times New Roman" w:hAnsi="Times New Roman"/>
          <w:sz w:val="11"/>
          <w:szCs w:val="11"/>
          <w:color w:val="008000"/>
        </w:rPr>
        <w:t>(3)</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30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$41.01 to $41.90.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20" w:right="4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stockholder of SC US (TTGP), Ltd. SC US (TTGP), Ltd. is (i) the general partner of SCGGF III - Endurance Partners Management, L.P., which is the general partner of Sequoia Capital Global Growth Fund III - Endurance Partners, L.P., or GGF III; (ii) the general partner of SCGGF III - U.S./India Management, L.P., or GGF III US IND MGMT; and</w:t>
      </w:r>
    </w:p>
    <w:p>
      <w:pPr>
        <w:spacing w:after="0" w:line="7" w:lineRule="exact"/>
        <w:rPr>
          <w:rFonts w:ascii="Times New Roman" w:cs="Times New Roman" w:eastAsia="Times New Roman" w:hAnsi="Times New Roman"/>
          <w:sz w:val="13"/>
          <w:szCs w:val="13"/>
          <w:color w:val="008000"/>
        </w:rPr>
      </w:pPr>
    </w:p>
    <w:p>
      <w:pPr>
        <w:ind w:left="20" w:right="8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 from Footnote 2) (iii) the general partner of SC US/E Expansion Fund I Management, L.P., which is the general partner of Sequoia Capital US/E Expansion Fund I, L.P., collectively, the EXP I Funds. As a result, the Reporting Person may be deemed to share beneficial ownership of the shares held by GGF III, GGF III US IND MGMT and the EXP I Funds. The Reporting Person disclaims beneficial ownership of the securities included in this report, except to the extent of his pecuniary interest therein, and the inclusion of these securities in this report shall not be deemed an admission of beneficial ownership of the reported securities for purposes of Section 16 or for any other purposes.</w:t>
      </w:r>
    </w:p>
    <w:p>
      <w:pPr>
        <w:spacing w:after="0" w:line="24" w:lineRule="exact"/>
        <w:rPr>
          <w:rFonts w:ascii="Times New Roman" w:cs="Times New Roman" w:eastAsia="Times New Roman" w:hAnsi="Times New Roman"/>
          <w:sz w:val="13"/>
          <w:szCs w:val="13"/>
          <w:color w:val="008000"/>
        </w:rPr>
      </w:pPr>
    </w:p>
    <w:p>
      <w:pPr>
        <w:ind w:left="20" w:right="20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Sequoia Grove II, LLC and a partner of Sequoia Grove UK, L.P. The Reporting Person disclaims beneficial ownership of the securities included in this report except to the extent of his pecuniary interest therein, and the inclusion of these securities in this report shall not be deemed an admission of beneficial ownership of the reported securities for purposes of Section 16 or for any other purposes.</w:t>
      </w:r>
    </w:p>
    <w:p>
      <w:pPr>
        <w:spacing w:after="0" w:line="20" w:lineRule="exact"/>
        <w:rPr>
          <w:rFonts w:ascii="Times New Roman" w:cs="Times New Roman" w:eastAsia="Times New Roman" w:hAnsi="Times New Roman"/>
          <w:sz w:val="13"/>
          <w:szCs w:val="13"/>
          <w:color w:val="008000"/>
        </w:rPr>
      </w:pPr>
    </w:p>
    <w:p>
      <w:pPr>
        <w:ind w:left="20" w:right="1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stockholder of SC US (TTGP), Ltd. SC US (TTGP), Ltd. is (i) the general partner of Sequoia Capital Fund Management, L.P., which is the general partner of Sequoia Capital Fund, LP (SCF) and the managing member of Sequoia Capital Fund Parallel, LLC (SCFP). As a result, the Reporting Person may be deemed to share beneficial ownership with respect to the shares held by SCF and SCFP. The Reporting Person disclaims beneficial ownership of the shares held by SCF and SCFP except to the extent of his or its pecuniary interest therein, and the inclusion of these securities in this report shall not be deemed an admission of beneficial ownership of the reported securities for purposes of Section 16 or for any other purposes.</w:t>
      </w: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Jung Yeon Son,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44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power of attorney for Ravi</w:t>
      </w:r>
      <w:r>
        <w:rPr>
          <w:sz w:val="20"/>
          <w:szCs w:val="20"/>
          <w:color w:val="auto"/>
        </w:rPr>
        <w:tab/>
      </w:r>
      <w:r>
        <w:rPr>
          <w:rFonts w:ascii="Times New Roman" w:cs="Times New Roman" w:eastAsia="Times New Roman" w:hAnsi="Times New Roman"/>
          <w:sz w:val="17"/>
          <w:szCs w:val="17"/>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80"/>
      </w:cols>
      <w:pgMar w:left="48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8460" TargetMode="External"/><Relationship Id="rId14" Type="http://schemas.openxmlformats.org/officeDocument/2006/relationships/hyperlink" Target="http://www.sec.gov/cgi-bin/browse-edgar?action=getcompany&amp;CIK=0001579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2026-06-04T16:44:46Z</dcterms:created>
  <dcterms:modified xsi:type="dcterms:W3CDTF">2026-06-04T16:44:46Z</dcterms:modified>
</cp:coreProperties>
</file>