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2813.xml.htm"/>
      <w:bookmarkStart w:id="1" w:name="kswkform4_17873428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Rogers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MAPLEBEAR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Maplebear Inc.</w:t>
              </w:r>
            </w:hyperlink>
            <w:r>
              <w:rPr/>
              <w:t xml:space="preserve"> [ </w:t>
            </w:r>
            <w:r>
              <w:rPr>
                <w:rFonts w:ascii="Times;serif" w:hAnsi="Times;serif"/>
                <w:color w:val="0000FF"/>
                <w:sz w:val="24"/>
                <w:shd w:fill="FFFFFF" w:val="clear"/>
              </w:rPr>
              <w:t>CART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48.9465</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916,636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sales were effected pursuant to a Rule 10b5-1 trading plan intended to satisfy the affirmative defense conditions of Rule 10b5-1(c), adopted on November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$48.67 to $49.2350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Libuit,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2930" TargetMode="External"/><Relationship Id="rId5" Type="http://schemas.openxmlformats.org/officeDocument/2006/relationships/hyperlink" Target="http://www.sec.gov/cgi-bin/browse-edgar?action=getcompany&amp;CIK=0001579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3624</Characters>
  <CharactersWithSpaces>4221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